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FEC6F8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40</w:t>
      </w:r>
      <w:r w:rsidR="00D45C2F">
        <w:rPr>
          <w:rFonts w:ascii="Times New Roman" w:eastAsia="Arial Unicode MS" w:hAnsi="Times New Roman" w:cs="Times New Roman"/>
          <w:b/>
          <w:kern w:val="0"/>
          <w:sz w:val="24"/>
          <w:szCs w:val="24"/>
          <w:lang w:eastAsia="lv-LV"/>
          <w14:ligatures w14:val="none"/>
        </w:rPr>
        <w:t>8</w:t>
      </w:r>
    </w:p>
    <w:p w14:paraId="37FE0B5F" w14:textId="2866E3A3"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C20EF3">
        <w:rPr>
          <w:rFonts w:ascii="Times New Roman" w:eastAsia="Arial Unicode MS" w:hAnsi="Times New Roman" w:cs="Times New Roman"/>
          <w:kern w:val="0"/>
          <w:sz w:val="24"/>
          <w:szCs w:val="24"/>
          <w:lang w:eastAsia="lv-LV"/>
          <w14:ligatures w14:val="none"/>
        </w:rPr>
        <w:t>5</w:t>
      </w:r>
      <w:r w:rsidR="00D45C2F">
        <w:rPr>
          <w:rFonts w:ascii="Times New Roman" w:eastAsia="Arial Unicode MS" w:hAnsi="Times New Roman" w:cs="Times New Roman"/>
          <w:kern w:val="0"/>
          <w:sz w:val="24"/>
          <w:szCs w:val="24"/>
          <w:lang w:eastAsia="lv-LV"/>
          <w14:ligatures w14:val="none"/>
        </w:rPr>
        <w:t>8</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25B0A905" w14:textId="77777777" w:rsidR="00D45C2F" w:rsidRPr="00D45C2F" w:rsidRDefault="00D45C2F" w:rsidP="00D45C2F">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D45C2F">
        <w:rPr>
          <w:rFonts w:ascii="Times New Roman" w:eastAsia="Arial Unicode MS" w:hAnsi="Times New Roman" w:cs="Arial Unicode MS"/>
          <w:b/>
          <w:kern w:val="0"/>
          <w:sz w:val="24"/>
          <w:szCs w:val="24"/>
          <w:lang w:eastAsia="lv-LV"/>
          <w14:ligatures w14:val="none"/>
        </w:rPr>
        <w:t xml:space="preserve">Par vienas diennakts ēdināšanas maksas noteikšanu pašvaldības ilgstošas un īslaicīgas sociālās aprūpes un sociālās rehabilitācijas institūciju klientiem </w:t>
      </w:r>
    </w:p>
    <w:p w14:paraId="3F3E4E7E" w14:textId="77777777" w:rsidR="00D45C2F" w:rsidRPr="00D45C2F" w:rsidRDefault="00D45C2F" w:rsidP="00D45C2F">
      <w:pPr>
        <w:spacing w:after="0"/>
        <w:ind w:firstLine="567"/>
        <w:jc w:val="both"/>
        <w:rPr>
          <w:rFonts w:ascii="Times New Roman" w:eastAsia="Times New Roman" w:hAnsi="Times New Roman" w:cs="Arial Unicode MS"/>
          <w:kern w:val="0"/>
          <w:sz w:val="24"/>
          <w:szCs w:val="24"/>
          <w:lang w:eastAsia="lv-LV" w:bidi="lo-LA"/>
          <w14:ligatures w14:val="none"/>
        </w:rPr>
      </w:pPr>
    </w:p>
    <w:p w14:paraId="54560BD8" w14:textId="77777777" w:rsidR="00D45C2F" w:rsidRPr="00D45C2F" w:rsidRDefault="00D45C2F" w:rsidP="00D45C2F">
      <w:pPr>
        <w:spacing w:after="0" w:line="240" w:lineRule="auto"/>
        <w:ind w:firstLine="720"/>
        <w:jc w:val="both"/>
        <w:rPr>
          <w:rFonts w:ascii="Times New Roman" w:eastAsia="Times New Roman" w:hAnsi="Times New Roman" w:cs="Times New Roman"/>
          <w:color w:val="000000"/>
          <w:kern w:val="0"/>
          <w:sz w:val="24"/>
          <w:szCs w:val="24"/>
          <w:shd w:val="clear" w:color="auto" w:fill="FFFFFF"/>
          <w:lang w:eastAsia="lv-LV"/>
          <w14:ligatures w14:val="none"/>
        </w:rPr>
      </w:pPr>
      <w:r w:rsidRPr="00D45C2F">
        <w:rPr>
          <w:rFonts w:ascii="Times New Roman" w:eastAsia="Times New Roman" w:hAnsi="Times New Roman" w:cs="Times New Roman"/>
          <w:color w:val="000000"/>
          <w:kern w:val="0"/>
          <w:sz w:val="24"/>
          <w:szCs w:val="24"/>
          <w:shd w:val="clear" w:color="auto" w:fill="FFFFFF"/>
          <w:lang w:eastAsia="lv-LV"/>
          <w14:ligatures w14:val="none"/>
        </w:rPr>
        <w:t>Madonas novada pašvaldība personām, kuras vecuma vai veselības stāvokļa dēļ nespēj sevi aprūpēt, ja personai nepieciešamo pakalpojumu apjoms pārsniedz aprūpes mājās noteikto pakalpojumu apjomu, nodrošina ilgstošas sociālās aprūpes un sociālās rehabilitācijas pakalpojumu institūcijā pilngadīgām personām, nodrošinot mājokli, pilnu aprūpi un sociālo rehabilitāciju. Lai sniegtu šo pakalpojumu ir izveidoti sociālās aprūpes centri un pansionāti.</w:t>
      </w:r>
    </w:p>
    <w:p w14:paraId="04112FAB" w14:textId="77777777" w:rsidR="00D45C2F" w:rsidRPr="00D45C2F" w:rsidRDefault="00D45C2F" w:rsidP="00D45C2F">
      <w:pPr>
        <w:spacing w:after="0" w:line="240" w:lineRule="auto"/>
        <w:ind w:firstLine="720"/>
        <w:jc w:val="both"/>
        <w:rPr>
          <w:rFonts w:ascii="Times New Roman" w:eastAsia="Times New Roman" w:hAnsi="Times New Roman" w:cs="Times New Roman"/>
          <w:color w:val="000000"/>
          <w:kern w:val="0"/>
          <w:sz w:val="24"/>
          <w:szCs w:val="24"/>
          <w:shd w:val="clear" w:color="auto" w:fill="FFFFFF"/>
          <w:lang w:eastAsia="lv-LV"/>
          <w14:ligatures w14:val="none"/>
        </w:rPr>
      </w:pPr>
      <w:r w:rsidRPr="00D45C2F">
        <w:rPr>
          <w:rFonts w:ascii="Times New Roman" w:eastAsia="Times New Roman" w:hAnsi="Times New Roman" w:cs="Times New Roman"/>
          <w:color w:val="000000"/>
          <w:kern w:val="0"/>
          <w:sz w:val="24"/>
          <w:szCs w:val="24"/>
          <w:shd w:val="clear" w:color="auto" w:fill="FFFFFF"/>
          <w:lang w:eastAsia="lv-LV"/>
          <w14:ligatures w14:val="none"/>
        </w:rPr>
        <w:t xml:space="preserve"> Ministru kabineta 2003. gada 27. maija noteikumu Nr. 275 "Sociālās aprūpes un sociālās rehabilitācijas pakalpojumu samaksas kārtība un kārtība, kādā pakalpojuma izmaksas tiek segtas no pašvaldības budžeta" 12. punktā noteikts, ja klients prombūtnes dēļ īslaicīgi nesaņem pakalpojumu ilgstošas aprūpes institūcijā, bet pakalpojuma sniegšana viņam nav pārtraukta, ilgstošas aprūpes institūcija samaksu par pakalpojumu samazina par ēdināšanas izdevumu apmēru, izņemot </w:t>
      </w:r>
      <w:hyperlink r:id="rId9" w:history="1">
        <w:r w:rsidRPr="00D45C2F">
          <w:rPr>
            <w:rFonts w:ascii="Times New Roman" w:eastAsia="Times New Roman" w:hAnsi="Times New Roman" w:cs="Times New Roman"/>
            <w:kern w:val="0"/>
            <w:sz w:val="24"/>
            <w:szCs w:val="24"/>
            <w:lang w:eastAsia="lv-LV"/>
            <w14:ligatures w14:val="none"/>
          </w:rPr>
          <w:t>Sociālo pakalpojumu un sociālās palīdzības likuma</w:t>
        </w:r>
      </w:hyperlink>
      <w:r w:rsidRPr="00D45C2F">
        <w:rPr>
          <w:rFonts w:ascii="Times New Roman" w:eastAsia="Times New Roman" w:hAnsi="Times New Roman" w:cs="Times New Roman"/>
          <w:color w:val="000000"/>
          <w:kern w:val="0"/>
          <w:sz w:val="24"/>
          <w:szCs w:val="24"/>
          <w:shd w:val="clear" w:color="auto" w:fill="FFFFFF"/>
          <w:lang w:eastAsia="lv-LV"/>
          <w14:ligatures w14:val="none"/>
        </w:rPr>
        <w:t> </w:t>
      </w:r>
      <w:hyperlink r:id="rId10" w:anchor="p29" w:history="1">
        <w:r w:rsidRPr="00D45C2F">
          <w:rPr>
            <w:rFonts w:ascii="Times New Roman" w:eastAsia="Times New Roman" w:hAnsi="Times New Roman" w:cs="Times New Roman"/>
            <w:kern w:val="0"/>
            <w:sz w:val="24"/>
            <w:szCs w:val="24"/>
            <w:lang w:eastAsia="lv-LV"/>
            <w14:ligatures w14:val="none"/>
          </w:rPr>
          <w:t>29. panta</w:t>
        </w:r>
      </w:hyperlink>
      <w:r w:rsidRPr="00D45C2F">
        <w:rPr>
          <w:rFonts w:ascii="Times New Roman" w:eastAsia="Times New Roman" w:hAnsi="Times New Roman" w:cs="Times New Roman"/>
          <w:color w:val="000000"/>
          <w:kern w:val="0"/>
          <w:sz w:val="24"/>
          <w:szCs w:val="24"/>
          <w:shd w:val="clear" w:color="auto" w:fill="FFFFFF"/>
          <w:lang w:eastAsia="lv-LV"/>
          <w14:ligatures w14:val="none"/>
        </w:rPr>
        <w:t xml:space="preserve"> pirmās daļas 3. un 4. punktā paredzētos gadījumus. </w:t>
      </w:r>
    </w:p>
    <w:p w14:paraId="225E7090" w14:textId="77777777" w:rsidR="00D45C2F" w:rsidRPr="00D45C2F" w:rsidRDefault="00D45C2F" w:rsidP="00D45C2F">
      <w:pPr>
        <w:spacing w:after="0" w:line="240" w:lineRule="auto"/>
        <w:ind w:firstLine="720"/>
        <w:jc w:val="both"/>
        <w:rPr>
          <w:rFonts w:ascii="Times New Roman" w:eastAsia="Times New Roman" w:hAnsi="Times New Roman" w:cs="Times New Roman"/>
          <w:color w:val="000000"/>
          <w:kern w:val="0"/>
          <w:sz w:val="24"/>
          <w:szCs w:val="24"/>
          <w:shd w:val="clear" w:color="auto" w:fill="FFFFFF"/>
          <w:lang w:eastAsia="lv-LV"/>
          <w14:ligatures w14:val="none"/>
        </w:rPr>
      </w:pPr>
      <w:r w:rsidRPr="00D45C2F">
        <w:rPr>
          <w:rFonts w:ascii="Times New Roman" w:eastAsia="Times New Roman" w:hAnsi="Times New Roman" w:cs="Times New Roman"/>
          <w:color w:val="000000"/>
          <w:kern w:val="0"/>
          <w:sz w:val="24"/>
          <w:szCs w:val="24"/>
          <w:shd w:val="clear" w:color="auto" w:fill="FFFFFF"/>
          <w:lang w:eastAsia="lv-LV"/>
          <w14:ligatures w14:val="none"/>
        </w:rPr>
        <w:t>Pašvaldību likuma 10. pantā noteikta domes kompetence. Pašvaldību likuma 10. panta otrajā daļā noteikts, ja likums tieši nenoteic, ka attiecīgā lēmuma pieņemšana ir domes kompetencē, dome, paredzot to pašvaldības nolikumā, var pilnvarot pašvaldības administrāciju, noteikt maksu par citiem pašvaldības sniegtajiem pakalpojumiem. Tā kā pašvaldības nolikumā dome nav uzdevusi administrācijai noteikt maksu, tad tā ir domes kompetence – noteikt maksu par ēdināšanu sociālās aprūpes centros un pansionātos, lai katra iestāde varētu samazināt samaksu par pakalpojumu par ēdināšanas izdevumu apmēru.</w:t>
      </w:r>
    </w:p>
    <w:p w14:paraId="1C111C0E" w14:textId="77777777" w:rsidR="00D45C2F" w:rsidRPr="00D45C2F" w:rsidRDefault="00D45C2F" w:rsidP="00D45C2F">
      <w:pPr>
        <w:spacing w:after="0" w:line="240" w:lineRule="auto"/>
        <w:ind w:firstLine="720"/>
        <w:jc w:val="both"/>
        <w:rPr>
          <w:rFonts w:ascii="Times New Roman" w:eastAsia="Times New Roman" w:hAnsi="Times New Roman" w:cs="Times New Roman"/>
          <w:color w:val="000000"/>
          <w:kern w:val="0"/>
          <w:sz w:val="24"/>
          <w:szCs w:val="24"/>
          <w:shd w:val="clear" w:color="auto" w:fill="FFFFFF"/>
          <w:lang w:eastAsia="lv-LV"/>
          <w14:ligatures w14:val="none"/>
        </w:rPr>
      </w:pPr>
      <w:r w:rsidRPr="00D45C2F">
        <w:rPr>
          <w:rFonts w:ascii="Times New Roman" w:eastAsia="Times New Roman" w:hAnsi="Times New Roman" w:cs="Times New Roman"/>
          <w:color w:val="000000"/>
          <w:kern w:val="0"/>
          <w:sz w:val="24"/>
          <w:szCs w:val="24"/>
          <w:shd w:val="clear" w:color="auto" w:fill="FFFFFF"/>
          <w:lang w:eastAsia="lv-LV"/>
          <w14:ligatures w14:val="none"/>
        </w:rPr>
        <w:t xml:space="preserve">Finanšu nodaļa, pamatojoties uz sociālās aprūpes centru un pansionātu iesniegtajiem pārskatiem par klientu ēdināšanas (produktu) faktiskajām izmaksām </w:t>
      </w:r>
      <w:r w:rsidRPr="00D45C2F">
        <w:rPr>
          <w:rFonts w:ascii="Times New Roman" w:eastAsia="Times New Roman" w:hAnsi="Times New Roman" w:cs="Times New Roman"/>
          <w:kern w:val="0"/>
          <w:sz w:val="24"/>
          <w:szCs w:val="24"/>
          <w:shd w:val="clear" w:color="auto" w:fill="FFFFFF"/>
          <w:lang w:eastAsia="lv-LV"/>
          <w14:ligatures w14:val="none"/>
        </w:rPr>
        <w:t xml:space="preserve">2025. gadā (periodā no janvāra līdz septembrim), veikusi aprēķinu plānotajām izmaksām 2026. gadam katram sociālās aprūpes un sociālās rehabilitācijas centram, iekļaujot pārtikas produktu cenu pieaugumu.  </w:t>
      </w:r>
    </w:p>
    <w:p w14:paraId="34ED6F8F" w14:textId="6DBDB412" w:rsidR="00D45C2F" w:rsidRDefault="00D45C2F" w:rsidP="00265A92">
      <w:pPr>
        <w:spacing w:after="0"/>
        <w:ind w:firstLine="720"/>
        <w:jc w:val="both"/>
        <w:rPr>
          <w:rFonts w:ascii="Times New Roman" w:eastAsia="Times New Roman" w:hAnsi="Times New Roman" w:cs="Times New Roman"/>
          <w:kern w:val="0"/>
          <w:sz w:val="24"/>
          <w:szCs w:val="24"/>
          <w:lang w:eastAsia="lv-LV"/>
          <w14:ligatures w14:val="none"/>
        </w:rPr>
      </w:pPr>
      <w:r w:rsidRPr="00D45C2F">
        <w:rPr>
          <w:rFonts w:ascii="Times New Roman" w:eastAsia="Times New Roman" w:hAnsi="Times New Roman" w:cs="Times New Roman"/>
          <w:color w:val="000000"/>
          <w:kern w:val="0"/>
          <w:sz w:val="24"/>
          <w:szCs w:val="24"/>
          <w:shd w:val="clear" w:color="auto" w:fill="FFFFFF"/>
          <w:lang w:eastAsia="lv-LV"/>
          <w14:ligatures w14:val="none"/>
        </w:rPr>
        <w:t xml:space="preserve">Izskatījusi pašvaldības iestāžu, kas sniedz Pakalpojumu, iesniegtās informācijas kopsavilkumu </w:t>
      </w:r>
      <w:r w:rsidRPr="00D45C2F">
        <w:rPr>
          <w:rFonts w:ascii="Times New Roman" w:eastAsia="Times New Roman" w:hAnsi="Times New Roman" w:cs="Times New Roman"/>
          <w:kern w:val="0"/>
          <w:sz w:val="24"/>
          <w:szCs w:val="24"/>
          <w:shd w:val="clear" w:color="auto" w:fill="FFFFFF"/>
          <w:lang w:eastAsia="lv-LV"/>
          <w14:ligatures w14:val="none"/>
        </w:rPr>
        <w:t xml:space="preserve">par 2025. gadā (periodā no janvāra līdz septembrim) faktiskajām izmaksām, pamatojoties uz Pašvaldību </w:t>
      </w:r>
      <w:r w:rsidRPr="00D45C2F">
        <w:rPr>
          <w:rFonts w:ascii="Times New Roman" w:eastAsia="Times New Roman" w:hAnsi="Times New Roman" w:cs="Times New Roman"/>
          <w:color w:val="000000"/>
          <w:kern w:val="0"/>
          <w:sz w:val="24"/>
          <w:szCs w:val="24"/>
          <w:shd w:val="clear" w:color="auto" w:fill="FFFFFF"/>
          <w:lang w:eastAsia="lv-LV"/>
          <w14:ligatures w14:val="none"/>
        </w:rPr>
        <w:t>likuma 10. pantu, Ministru kabineta 2003. gada 27. maija noteikumu Nr. 275 "Sociālās aprūpes un sociālās rehabilitācijas pakalpojumu samaksas kārtība un kārtība, kādā pakalpojuma izmaksas tiek segtas no pašvaldības budžeta" 12. punktu,</w:t>
      </w:r>
      <w:r w:rsidRPr="00D45C2F">
        <w:rPr>
          <w:rFonts w:ascii="Times New Roman" w:eastAsia="Calibri" w:hAnsi="Times New Roman" w:cs="Times New Roman"/>
          <w:i/>
          <w:color w:val="EE0000"/>
          <w:kern w:val="0"/>
          <w:sz w:val="24"/>
          <w14:ligatures w14:val="none"/>
        </w:rPr>
        <w:t xml:space="preserve"> </w:t>
      </w:r>
      <w:r w:rsidR="00265A92">
        <w:rPr>
          <w:rFonts w:ascii="Times New Roman" w:eastAsia="Calibri" w:hAnsi="Times New Roman" w:cs="Times New Roman"/>
          <w:iCs/>
          <w:kern w:val="0"/>
          <w:sz w:val="24"/>
          <w14:ligatures w14:val="none"/>
        </w:rPr>
        <w:t xml:space="preserve">ņemot vērā 12.11.2025. Sociālo un veselības jautājumu komitejas </w:t>
      </w:r>
      <w:r w:rsidR="00721965">
        <w:rPr>
          <w:rFonts w:ascii="Times New Roman" w:eastAsia="Calibri" w:hAnsi="Times New Roman" w:cs="Times New Roman"/>
          <w:iCs/>
          <w:kern w:val="0"/>
          <w:sz w:val="24"/>
          <w14:ligatures w14:val="none"/>
        </w:rPr>
        <w:t xml:space="preserve">un 21.11.2025. Finanšu komitejas </w:t>
      </w:r>
      <w:r w:rsidR="00265A92">
        <w:rPr>
          <w:rFonts w:ascii="Times New Roman" w:eastAsia="Calibri" w:hAnsi="Times New Roman" w:cs="Times New Roman"/>
          <w:iCs/>
          <w:kern w:val="0"/>
          <w:sz w:val="24"/>
          <w14:ligatures w14:val="none"/>
        </w:rPr>
        <w:t>atzinumu</w:t>
      </w:r>
      <w:r w:rsidR="00721965">
        <w:rPr>
          <w:rFonts w:ascii="Times New Roman" w:eastAsia="Calibri" w:hAnsi="Times New Roman" w:cs="Times New Roman"/>
          <w:iCs/>
          <w:kern w:val="0"/>
          <w:sz w:val="24"/>
          <w14:ligatures w14:val="none"/>
        </w:rPr>
        <w:t>s</w:t>
      </w:r>
      <w:r w:rsidR="00265A92">
        <w:rPr>
          <w:rFonts w:ascii="Times New Roman" w:eastAsia="Calibri" w:hAnsi="Times New Roman" w:cs="Times New Roman"/>
          <w:bCs/>
          <w:kern w:val="0"/>
          <w:sz w:val="24"/>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Janīna Grudule, Jānis Erels, Māris Justs, Māris Olte, Rūdolfs </w:t>
      </w:r>
      <w:r w:rsidRPr="00FF7562">
        <w:rPr>
          <w:rFonts w:ascii="Times New Roman" w:hAnsi="Times New Roman" w:cs="Times New Roman"/>
          <w:bCs/>
          <w:noProof/>
          <w:sz w:val="24"/>
          <w:szCs w:val="24"/>
        </w:rPr>
        <w:lastRenderedPageBreak/>
        <w:t>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7CA3862E" w14:textId="77777777" w:rsidR="00D45C2F" w:rsidRPr="00D45C2F" w:rsidRDefault="00D45C2F" w:rsidP="00D45C2F">
      <w:pPr>
        <w:spacing w:after="0"/>
        <w:ind w:firstLine="567"/>
        <w:jc w:val="both"/>
        <w:rPr>
          <w:rFonts w:ascii="Times New Roman" w:eastAsia="Times New Roman" w:hAnsi="Times New Roman" w:cs="Arial Unicode MS"/>
          <w:kern w:val="0"/>
          <w:sz w:val="24"/>
          <w:szCs w:val="24"/>
          <w:lang w:eastAsia="lv-LV" w:bidi="lo-LA"/>
          <w14:ligatures w14:val="none"/>
        </w:rPr>
      </w:pPr>
    </w:p>
    <w:p w14:paraId="13DD84B0" w14:textId="77777777" w:rsidR="00D45C2F" w:rsidRPr="00D45C2F" w:rsidRDefault="00D45C2F" w:rsidP="00D45C2F">
      <w:pPr>
        <w:tabs>
          <w:tab w:val="left" w:pos="720"/>
        </w:tabs>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D45C2F">
        <w:rPr>
          <w:rFonts w:ascii="Times New Roman" w:eastAsia="Times New Roman" w:hAnsi="Times New Roman" w:cs="Times New Roman"/>
          <w:kern w:val="0"/>
          <w:sz w:val="24"/>
          <w:szCs w:val="24"/>
          <w:lang w:eastAsia="lv-LV"/>
          <w14:ligatures w14:val="none"/>
        </w:rPr>
        <w:t xml:space="preserve">Ar 2026. gada 1. februāri </w:t>
      </w:r>
      <w:r w:rsidRPr="00D45C2F">
        <w:rPr>
          <w:rFonts w:ascii="Times New Roman" w:eastAsia="Times New Roman" w:hAnsi="Times New Roman" w:cs="Times New Roman"/>
          <w:color w:val="000000"/>
          <w:kern w:val="0"/>
          <w:sz w:val="24"/>
          <w:szCs w:val="24"/>
          <w:lang w:eastAsia="lv-LV"/>
          <w14:ligatures w14:val="none"/>
        </w:rPr>
        <w:t>noteikt diennakts ēdināšanas maksu vienai personai pašvaldības ilgstošās un īslaicīgās sociālās un sociālās rehabilitācijas institūcijās: pansionātos un sociālās aprūpes centros pilngadīgām personām:</w:t>
      </w:r>
    </w:p>
    <w:p w14:paraId="34380F35" w14:textId="77777777" w:rsidR="00D45C2F" w:rsidRPr="00D45C2F" w:rsidRDefault="00D45C2F" w:rsidP="00D45C2F">
      <w:pPr>
        <w:tabs>
          <w:tab w:val="left" w:pos="720"/>
        </w:tabs>
        <w:spacing w:after="0"/>
        <w:ind w:firstLine="720"/>
        <w:jc w:val="both"/>
        <w:rPr>
          <w:rFonts w:ascii="Times New Roman" w:eastAsia="Calibri" w:hAnsi="Times New Roman" w:cs="Times New Roman"/>
          <w:i/>
          <w:color w:val="000000"/>
          <w:kern w:val="0"/>
          <w:sz w:val="24"/>
          <w14:ligatures w14:val="none"/>
        </w:rPr>
      </w:pPr>
    </w:p>
    <w:tbl>
      <w:tblPr>
        <w:tblW w:w="9072" w:type="dxa"/>
        <w:tblInd w:w="108" w:type="dxa"/>
        <w:tblLook w:val="04A0" w:firstRow="1" w:lastRow="0" w:firstColumn="1" w:lastColumn="0" w:noHBand="0" w:noVBand="1"/>
      </w:tblPr>
      <w:tblGrid>
        <w:gridCol w:w="7400"/>
        <w:gridCol w:w="1672"/>
      </w:tblGrid>
      <w:tr w:rsidR="00D45C2F" w:rsidRPr="00D45C2F" w14:paraId="0C6EC5C3" w14:textId="77777777" w:rsidTr="00D45C2F">
        <w:trPr>
          <w:trHeight w:val="571"/>
        </w:trPr>
        <w:tc>
          <w:tcPr>
            <w:tcW w:w="7400"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5AC31BA"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Sociālā aprūpes centra/pansionāta nosaukums</w:t>
            </w:r>
          </w:p>
        </w:tc>
        <w:tc>
          <w:tcPr>
            <w:tcW w:w="1672" w:type="dxa"/>
            <w:tcBorders>
              <w:top w:val="single" w:sz="4" w:space="0" w:color="000000"/>
              <w:left w:val="single" w:sz="4" w:space="0" w:color="000000"/>
              <w:bottom w:val="single" w:sz="4" w:space="0" w:color="000000"/>
              <w:right w:val="single" w:sz="4" w:space="0" w:color="000000"/>
            </w:tcBorders>
            <w:shd w:val="clear" w:color="auto" w:fill="E2EFD9"/>
          </w:tcPr>
          <w:p w14:paraId="19FCA5BB"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Diennakts vienas personas ēdināšanas maksa EUR</w:t>
            </w:r>
          </w:p>
        </w:tc>
      </w:tr>
      <w:tr w:rsidR="00D45C2F" w:rsidRPr="00D45C2F" w14:paraId="1DD1F1AA" w14:textId="77777777" w:rsidTr="002A4422">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10A5809E"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Mārcienas Sociālās aprūpes centrs</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3843D868"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r w:rsidR="00D45C2F" w:rsidRPr="00D45C2F" w14:paraId="7E39F4DF" w14:textId="77777777" w:rsidTr="002A4422">
        <w:trPr>
          <w:trHeight w:val="240"/>
        </w:trPr>
        <w:tc>
          <w:tcPr>
            <w:tcW w:w="7400" w:type="dxa"/>
            <w:tcBorders>
              <w:top w:val="single" w:sz="4" w:space="0" w:color="000000"/>
              <w:left w:val="single" w:sz="4" w:space="0" w:color="000000"/>
              <w:bottom w:val="single" w:sz="4" w:space="0" w:color="000000"/>
              <w:right w:val="single" w:sz="4" w:space="0" w:color="000000"/>
            </w:tcBorders>
            <w:vAlign w:val="bottom"/>
          </w:tcPr>
          <w:p w14:paraId="1A30BF1B"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Barkavas pansionāts</w:t>
            </w:r>
          </w:p>
        </w:tc>
        <w:tc>
          <w:tcPr>
            <w:tcW w:w="1672" w:type="dxa"/>
            <w:tcBorders>
              <w:top w:val="single" w:sz="4" w:space="0" w:color="000000"/>
              <w:left w:val="single" w:sz="4" w:space="0" w:color="000000"/>
              <w:bottom w:val="single" w:sz="4" w:space="0" w:color="000000"/>
              <w:right w:val="single" w:sz="4" w:space="0" w:color="000000"/>
            </w:tcBorders>
          </w:tcPr>
          <w:p w14:paraId="5B203910"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r w:rsidR="00D45C2F" w:rsidRPr="00D45C2F" w14:paraId="17FE4B58" w14:textId="77777777" w:rsidTr="002A4422">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10741BF4"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Ļaudonas pansionāts</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51612CBE"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r w:rsidR="00D45C2F" w:rsidRPr="00D45C2F" w14:paraId="3CE5B463" w14:textId="77777777" w:rsidTr="002A4422">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119D2C0A"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Cesvaines un Dzelzavas Sociālās aprūpes centrs Cesvaines struktūrvienība</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55AF3088"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r w:rsidR="00D45C2F" w:rsidRPr="00D45C2F" w14:paraId="1FBE0492" w14:textId="77777777" w:rsidTr="002A4422">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534611C8"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Cesvaines un Dzelzavas Sociālās aprūpes centrs Dzelzavas struktūrvienība</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4224FB00"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6,90</w:t>
            </w:r>
          </w:p>
        </w:tc>
      </w:tr>
      <w:tr w:rsidR="00D45C2F" w:rsidRPr="00D45C2F" w14:paraId="0D02843F" w14:textId="77777777" w:rsidTr="002A4422">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57C21926" w14:textId="77777777" w:rsidR="00D45C2F" w:rsidRPr="00D45C2F" w:rsidRDefault="00D45C2F" w:rsidP="00D45C2F">
            <w:pPr>
              <w:spacing w:after="0"/>
              <w:jc w:val="both"/>
              <w:rPr>
                <w:rFonts w:ascii="Times New Roman" w:eastAsia="Calibri" w:hAnsi="Times New Roman" w:cs="Times New Roman"/>
                <w:iCs/>
                <w:kern w:val="0"/>
                <w:sz w:val="24"/>
                <w14:ligatures w14:val="none"/>
              </w:rPr>
            </w:pPr>
            <w:r w:rsidRPr="00D45C2F">
              <w:rPr>
                <w:rFonts w:ascii="Times New Roman" w:eastAsia="Calibri" w:hAnsi="Times New Roman" w:cs="Times New Roman"/>
                <w:iCs/>
                <w:kern w:val="0"/>
                <w:sz w:val="24"/>
                <w14:ligatures w14:val="none"/>
              </w:rPr>
              <w:t>Lubānas Sociālās aprūpes centrs</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4C4BA4EA" w14:textId="77777777" w:rsidR="00D45C2F" w:rsidRPr="00D45C2F" w:rsidRDefault="00D45C2F" w:rsidP="00D45C2F">
            <w:pPr>
              <w:spacing w:after="0"/>
              <w:jc w:val="both"/>
              <w:rPr>
                <w:rFonts w:ascii="Times New Roman" w:eastAsia="Calibri" w:hAnsi="Times New Roman" w:cs="Times New Roman"/>
                <w:iCs/>
                <w:kern w:val="0"/>
                <w:sz w:val="24"/>
                <w14:ligatures w14:val="none"/>
              </w:rPr>
            </w:pPr>
            <w:r w:rsidRPr="00D45C2F">
              <w:rPr>
                <w:rFonts w:ascii="Times New Roman" w:eastAsia="Calibri" w:hAnsi="Times New Roman" w:cs="Times New Roman"/>
                <w:iCs/>
                <w:kern w:val="0"/>
                <w:sz w:val="24"/>
                <w14:ligatures w14:val="none"/>
              </w:rPr>
              <w:t>13,00</w:t>
            </w:r>
          </w:p>
        </w:tc>
      </w:tr>
      <w:tr w:rsidR="00D45C2F" w:rsidRPr="00D45C2F" w14:paraId="30A4CC70" w14:textId="77777777" w:rsidTr="002A4422">
        <w:trPr>
          <w:trHeight w:val="300"/>
        </w:trPr>
        <w:tc>
          <w:tcPr>
            <w:tcW w:w="7400" w:type="dxa"/>
            <w:tcBorders>
              <w:top w:val="single" w:sz="4" w:space="0" w:color="000000"/>
              <w:left w:val="single" w:sz="4" w:space="0" w:color="000000"/>
              <w:bottom w:val="single" w:sz="4" w:space="0" w:color="000000"/>
              <w:right w:val="single" w:sz="4" w:space="0" w:color="000000"/>
            </w:tcBorders>
            <w:vAlign w:val="bottom"/>
          </w:tcPr>
          <w:p w14:paraId="34981332"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Ērgļu Sociālās aprūpes centrs</w:t>
            </w:r>
          </w:p>
        </w:tc>
        <w:tc>
          <w:tcPr>
            <w:tcW w:w="1672" w:type="dxa"/>
            <w:tcBorders>
              <w:top w:val="single" w:sz="4" w:space="0" w:color="000000"/>
              <w:left w:val="single" w:sz="4" w:space="0" w:color="000000"/>
              <w:bottom w:val="single" w:sz="4" w:space="0" w:color="000000"/>
              <w:right w:val="single" w:sz="4" w:space="0" w:color="000000"/>
            </w:tcBorders>
          </w:tcPr>
          <w:p w14:paraId="49252261"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r w:rsidR="00D45C2F" w:rsidRPr="00D45C2F" w14:paraId="68B4C68E" w14:textId="77777777" w:rsidTr="002A4422">
        <w:trPr>
          <w:trHeight w:val="300"/>
        </w:trPr>
        <w:tc>
          <w:tcPr>
            <w:tcW w:w="7400" w:type="dxa"/>
            <w:tcBorders>
              <w:top w:val="single" w:sz="4" w:space="0" w:color="000000"/>
              <w:left w:val="single" w:sz="4" w:space="0" w:color="000000"/>
              <w:bottom w:val="single" w:sz="4" w:space="0" w:color="000000"/>
              <w:right w:val="single" w:sz="4" w:space="0" w:color="000000"/>
            </w:tcBorders>
            <w:vAlign w:val="bottom"/>
          </w:tcPr>
          <w:p w14:paraId="3D43BF6D"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Ērgļu Sociālās aprūpes centrs “Kastaņas”</w:t>
            </w:r>
          </w:p>
        </w:tc>
        <w:tc>
          <w:tcPr>
            <w:tcW w:w="1672" w:type="dxa"/>
            <w:tcBorders>
              <w:top w:val="single" w:sz="4" w:space="0" w:color="000000"/>
              <w:left w:val="single" w:sz="4" w:space="0" w:color="000000"/>
              <w:bottom w:val="single" w:sz="4" w:space="0" w:color="000000"/>
              <w:right w:val="single" w:sz="4" w:space="0" w:color="000000"/>
            </w:tcBorders>
          </w:tcPr>
          <w:p w14:paraId="6B139129"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r w:rsidR="00D45C2F" w:rsidRPr="00D45C2F" w14:paraId="6ED208C0" w14:textId="77777777" w:rsidTr="002A4422">
        <w:trPr>
          <w:trHeight w:val="300"/>
        </w:trPr>
        <w:tc>
          <w:tcPr>
            <w:tcW w:w="7400" w:type="dxa"/>
            <w:tcBorders>
              <w:top w:val="single" w:sz="4" w:space="0" w:color="000000"/>
              <w:left w:val="single" w:sz="4" w:space="0" w:color="000000"/>
              <w:bottom w:val="single" w:sz="4" w:space="0" w:color="000000"/>
              <w:right w:val="single" w:sz="4" w:space="0" w:color="000000"/>
            </w:tcBorders>
            <w:vAlign w:val="bottom"/>
          </w:tcPr>
          <w:p w14:paraId="7A322EBE"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Varakļānu pansionāts “Varavīksne”</w:t>
            </w:r>
          </w:p>
        </w:tc>
        <w:tc>
          <w:tcPr>
            <w:tcW w:w="1672" w:type="dxa"/>
            <w:tcBorders>
              <w:top w:val="single" w:sz="4" w:space="0" w:color="000000"/>
              <w:left w:val="single" w:sz="4" w:space="0" w:color="000000"/>
              <w:bottom w:val="single" w:sz="4" w:space="0" w:color="000000"/>
              <w:right w:val="single" w:sz="4" w:space="0" w:color="000000"/>
            </w:tcBorders>
          </w:tcPr>
          <w:p w14:paraId="72382435" w14:textId="77777777" w:rsidR="00D45C2F" w:rsidRPr="00D45C2F" w:rsidRDefault="00D45C2F" w:rsidP="00D45C2F">
            <w:pPr>
              <w:spacing w:after="0"/>
              <w:jc w:val="both"/>
              <w:rPr>
                <w:rFonts w:ascii="Times New Roman" w:eastAsia="Calibri" w:hAnsi="Times New Roman" w:cs="Times New Roman"/>
                <w:iCs/>
                <w:color w:val="000000"/>
                <w:kern w:val="0"/>
                <w:sz w:val="24"/>
                <w14:ligatures w14:val="none"/>
              </w:rPr>
            </w:pPr>
            <w:r w:rsidRPr="00D45C2F">
              <w:rPr>
                <w:rFonts w:ascii="Times New Roman" w:eastAsia="Calibri" w:hAnsi="Times New Roman" w:cs="Times New Roman"/>
                <w:iCs/>
                <w:color w:val="000000"/>
                <w:kern w:val="0"/>
                <w:sz w:val="24"/>
                <w14:ligatures w14:val="none"/>
              </w:rPr>
              <w:t>4,00</w:t>
            </w:r>
          </w:p>
        </w:tc>
      </w:tr>
    </w:tbl>
    <w:p w14:paraId="0AA6A590" w14:textId="77777777" w:rsidR="00D45C2F" w:rsidRPr="00D45C2F" w:rsidRDefault="00D45C2F" w:rsidP="00D45C2F">
      <w:pPr>
        <w:spacing w:after="0"/>
        <w:jc w:val="both"/>
        <w:rPr>
          <w:rFonts w:ascii="Times New Roman" w:eastAsia="Calibri" w:hAnsi="Times New Roman" w:cs="Times New Roman"/>
          <w:b/>
          <w:bCs/>
          <w:iCs/>
          <w:kern w:val="0"/>
          <w:sz w:val="24"/>
          <w14:ligatures w14:val="none"/>
        </w:rPr>
      </w:pPr>
    </w:p>
    <w:p w14:paraId="362A49DF" w14:textId="587A3AA8" w:rsidR="00D45C2F" w:rsidRPr="00D45C2F" w:rsidRDefault="00D45C2F" w:rsidP="006663A8">
      <w:pPr>
        <w:numPr>
          <w:ilvl w:val="0"/>
          <w:numId w:val="51"/>
        </w:numPr>
        <w:spacing w:after="0"/>
        <w:ind w:left="709" w:hanging="567"/>
        <w:contextualSpacing/>
        <w:jc w:val="both"/>
        <w:rPr>
          <w:rFonts w:ascii="Times New Roman" w:eastAsia="Calibri" w:hAnsi="Times New Roman" w:cs="Times New Roman"/>
          <w:iCs/>
          <w:kern w:val="0"/>
          <w:sz w:val="24"/>
          <w14:ligatures w14:val="none"/>
        </w:rPr>
      </w:pPr>
      <w:r w:rsidRPr="00D45C2F">
        <w:rPr>
          <w:rFonts w:ascii="Times New Roman" w:eastAsia="Calibri" w:hAnsi="Times New Roman" w:cs="Times New Roman"/>
          <w:iCs/>
          <w:kern w:val="0"/>
          <w:sz w:val="24"/>
          <w14:ligatures w14:val="none"/>
        </w:rPr>
        <w:t>Ar šo lēmumu spēku zaudē 2023. gada 31. janvāra domes lēmums Nr. 22 (protokols Nr.</w:t>
      </w:r>
      <w:r w:rsidR="006663A8">
        <w:rPr>
          <w:rFonts w:ascii="Times New Roman" w:eastAsia="Calibri" w:hAnsi="Times New Roman" w:cs="Times New Roman"/>
          <w:iCs/>
          <w:kern w:val="0"/>
          <w:sz w:val="24"/>
          <w14:ligatures w14:val="none"/>
        </w:rPr>
        <w:t> </w:t>
      </w:r>
      <w:r w:rsidRPr="00D45C2F">
        <w:rPr>
          <w:rFonts w:ascii="Times New Roman" w:eastAsia="Calibri" w:hAnsi="Times New Roman" w:cs="Times New Roman"/>
          <w:iCs/>
          <w:kern w:val="0"/>
          <w:sz w:val="24"/>
          <w14:ligatures w14:val="none"/>
        </w:rPr>
        <w:t>2, 16. p.) “Par vienas diennakts ēdināšanas maksas noteikšanu pašvaldības ilgstošas sociālās aprūpes un sociālās rehabilitācijas institūciju klientiem”.</w:t>
      </w:r>
    </w:p>
    <w:p w14:paraId="6BE32E71" w14:textId="77777777" w:rsidR="00D45C2F" w:rsidRPr="00D45C2F" w:rsidRDefault="00D45C2F" w:rsidP="00D45C2F">
      <w:pPr>
        <w:spacing w:after="0"/>
        <w:rPr>
          <w:rFonts w:ascii="Times New Roman" w:eastAsia="Calibri" w:hAnsi="Times New Roman" w:cs="Times New Roman"/>
          <w:i/>
          <w:kern w:val="0"/>
          <w:sz w:val="24"/>
          <w:szCs w:val="24"/>
          <w14:ligatures w14:val="none"/>
        </w:rPr>
      </w:pPr>
    </w:p>
    <w:p w14:paraId="0B3DF3DD" w14:textId="77777777" w:rsidR="00D45C2F" w:rsidRDefault="00D45C2F" w:rsidP="002628DA">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p>
    <w:p w14:paraId="723BEDE4"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269EE12" w14:textId="77777777" w:rsidR="002628DA" w:rsidRPr="002628DA" w:rsidRDefault="002628DA" w:rsidP="002628DA">
      <w:pPr>
        <w:spacing w:after="0"/>
        <w:jc w:val="both"/>
        <w:rPr>
          <w:rFonts w:ascii="Times New Roman" w:eastAsia="Calibri" w:hAnsi="Times New Roman" w:cs="Times New Roman"/>
          <w:i/>
          <w:color w:val="000000"/>
          <w:kern w:val="0"/>
          <w:sz w:val="24"/>
          <w14:ligatures w14:val="none"/>
        </w:rPr>
      </w:pPr>
      <w:r w:rsidRPr="002628DA">
        <w:rPr>
          <w:rFonts w:ascii="Times New Roman" w:eastAsia="Calibri" w:hAnsi="Times New Roman" w:cs="Times New Roman"/>
          <w:i/>
          <w:color w:val="000000"/>
          <w:kern w:val="0"/>
          <w:sz w:val="24"/>
          <w14:ligatures w14:val="none"/>
        </w:rPr>
        <w:t>Ankrava 29374376</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2BC4" w14:textId="77777777" w:rsidR="00493C4B" w:rsidRDefault="00493C4B">
      <w:pPr>
        <w:spacing w:after="0" w:line="240" w:lineRule="auto"/>
      </w:pPr>
      <w:r>
        <w:separator/>
      </w:r>
    </w:p>
  </w:endnote>
  <w:endnote w:type="continuationSeparator" w:id="0">
    <w:p w14:paraId="643AEFB9" w14:textId="77777777" w:rsidR="00493C4B" w:rsidRDefault="0049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7DC2" w14:textId="77777777" w:rsidR="00493C4B" w:rsidRDefault="00493C4B">
      <w:pPr>
        <w:spacing w:after="0" w:line="240" w:lineRule="auto"/>
      </w:pPr>
      <w:r>
        <w:separator/>
      </w:r>
    </w:p>
  </w:footnote>
  <w:footnote w:type="continuationSeparator" w:id="0">
    <w:p w14:paraId="0AFD6D70" w14:textId="77777777" w:rsidR="00493C4B" w:rsidRDefault="00493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4AC07284"/>
    <w:multiLevelType w:val="hybridMultilevel"/>
    <w:tmpl w:val="19647434"/>
    <w:lvl w:ilvl="0" w:tplc="2F38D9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40"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2"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6"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5"/>
  </w:num>
  <w:num w:numId="4" w16cid:durableId="895160938">
    <w:abstractNumId w:val="33"/>
  </w:num>
  <w:num w:numId="5" w16cid:durableId="373819068">
    <w:abstractNumId w:val="8"/>
  </w:num>
  <w:num w:numId="6" w16cid:durableId="73000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1"/>
  </w:num>
  <w:num w:numId="11" w16cid:durableId="1759057400">
    <w:abstractNumId w:val="26"/>
  </w:num>
  <w:num w:numId="12" w16cid:durableId="1572733906">
    <w:abstractNumId w:val="45"/>
  </w:num>
  <w:num w:numId="13" w16cid:durableId="190352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8"/>
  </w:num>
  <w:num w:numId="15" w16cid:durableId="279773990">
    <w:abstractNumId w:val="43"/>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4"/>
  </w:num>
  <w:num w:numId="21" w16cid:durableId="233051550">
    <w:abstractNumId w:val="13"/>
  </w:num>
  <w:num w:numId="22" w16cid:durableId="567618645">
    <w:abstractNumId w:val="20"/>
  </w:num>
  <w:num w:numId="23" w16cid:durableId="610472573">
    <w:abstractNumId w:val="41"/>
  </w:num>
  <w:num w:numId="24" w16cid:durableId="397828114">
    <w:abstractNumId w:val="36"/>
  </w:num>
  <w:num w:numId="25" w16cid:durableId="1131438345">
    <w:abstractNumId w:val="16"/>
  </w:num>
  <w:num w:numId="26" w16cid:durableId="1092313196">
    <w:abstractNumId w:val="34"/>
  </w:num>
  <w:num w:numId="27" w16cid:durableId="478303799">
    <w:abstractNumId w:val="22"/>
  </w:num>
  <w:num w:numId="28" w16cid:durableId="2125028654">
    <w:abstractNumId w:val="10"/>
  </w:num>
  <w:num w:numId="29" w16cid:durableId="929243833">
    <w:abstractNumId w:val="1"/>
  </w:num>
  <w:num w:numId="30" w16cid:durableId="20745002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5"/>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7"/>
  </w:num>
  <w:num w:numId="36" w16cid:durableId="1106728880">
    <w:abstractNumId w:val="2"/>
  </w:num>
  <w:num w:numId="37" w16cid:durableId="1820338956">
    <w:abstractNumId w:val="17"/>
  </w:num>
  <w:num w:numId="38" w16cid:durableId="449936161">
    <w:abstractNumId w:val="39"/>
  </w:num>
  <w:num w:numId="39" w16cid:durableId="436950315">
    <w:abstractNumId w:val="44"/>
  </w:num>
  <w:num w:numId="40" w16cid:durableId="637302873">
    <w:abstractNumId w:val="3"/>
  </w:num>
  <w:num w:numId="41" w16cid:durableId="1554266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40"/>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3"/>
  </w:num>
  <w:num w:numId="45" w16cid:durableId="1805736607">
    <w:abstractNumId w:val="28"/>
  </w:num>
  <w:num w:numId="46" w16cid:durableId="1566986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2"/>
  </w:num>
  <w:num w:numId="50" w16cid:durableId="37847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95933937">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2E69"/>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3A96"/>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18FC"/>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A92"/>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1357"/>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3C4B"/>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107CB"/>
    <w:rsid w:val="00714C6E"/>
    <w:rsid w:val="00714FD4"/>
    <w:rsid w:val="00720961"/>
    <w:rsid w:val="00721741"/>
    <w:rsid w:val="00721965"/>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A2F"/>
    <w:rsid w:val="008B4D13"/>
    <w:rsid w:val="008B4F9F"/>
    <w:rsid w:val="008C23DC"/>
    <w:rsid w:val="008C499D"/>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88-socialo-pakalpojumu-un-socialas-palidzibas-likums" TargetMode="External"/><Relationship Id="rId4" Type="http://schemas.openxmlformats.org/officeDocument/2006/relationships/webSettings" Target="webSettings.xml"/><Relationship Id="rId9" Type="http://schemas.openxmlformats.org/officeDocument/2006/relationships/hyperlink" Target="https://likumi.lv/ta/id/68488-socialo-pakalpojumu-un-socialas-palidzibas-lik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TotalTime>
  <Pages>2</Pages>
  <Words>3052</Words>
  <Characters>1741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458</cp:revision>
  <dcterms:created xsi:type="dcterms:W3CDTF">2024-09-06T08:06:00Z</dcterms:created>
  <dcterms:modified xsi:type="dcterms:W3CDTF">2025-12-02T13:21:00Z</dcterms:modified>
</cp:coreProperties>
</file>